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4DCFE" w14:textId="77777777" w:rsidR="002F3077" w:rsidRDefault="00EA4D4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60" w:type="dxa"/>
        <w:tblInd w:w="1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1"/>
        <w:gridCol w:w="3261"/>
        <w:gridCol w:w="2128"/>
        <w:gridCol w:w="1560"/>
      </w:tblGrid>
      <w:tr w:rsidR="002F3077" w14:paraId="46DDD3D8" w14:textId="77777777">
        <w:trPr>
          <w:trHeight w:val="273"/>
        </w:trPr>
        <w:tc>
          <w:tcPr>
            <w:tcW w:w="9660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EE878" w14:textId="77777777" w:rsidR="002F3077" w:rsidRDefault="00EA4D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                                           </w:t>
            </w:r>
          </w:p>
          <w:p w14:paraId="30A92886" w14:textId="77777777" w:rsidR="002F3077" w:rsidRDefault="00EA4D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14:paraId="648469DB" w14:textId="77777777" w:rsidR="002F3077" w:rsidRDefault="00EA4D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</w:tr>
      <w:tr w:rsidR="002F3077" w14:paraId="271A66EC" w14:textId="77777777" w:rsidTr="00EA4D45">
        <w:trPr>
          <w:trHeight w:val="337"/>
        </w:trPr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4E4C7" w14:textId="713D57A1" w:rsidR="002F3077" w:rsidRDefault="002F30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981EF" w14:textId="77777777" w:rsidR="002F3077" w:rsidRDefault="00EA4D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2F3077" w14:paraId="52D3AE1C" w14:textId="77777777">
        <w:trPr>
          <w:trHeight w:val="273"/>
        </w:trPr>
        <w:tc>
          <w:tcPr>
            <w:tcW w:w="27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B2EF2" w14:textId="77777777" w:rsidR="002F3077" w:rsidRDefault="00EA4D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B74D121" w14:textId="77777777" w:rsidR="002F3077" w:rsidRDefault="00EA4D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7C94F" w14:textId="77777777" w:rsidR="002F3077" w:rsidRDefault="00EA4D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2D250" w14:textId="77777777" w:rsidR="002F3077" w:rsidRDefault="00EA4D4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Форма по ОКУД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B0F38" w14:textId="104F9FFE" w:rsidR="002F3077" w:rsidRDefault="00EA4D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F3077" w14:paraId="010F60F2" w14:textId="77777777">
        <w:trPr>
          <w:trHeight w:val="273"/>
        </w:trPr>
        <w:tc>
          <w:tcPr>
            <w:tcW w:w="597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B4F0D" w14:textId="77777777" w:rsidR="002F3077" w:rsidRDefault="00EA4D4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января 2025 г.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46843" w14:textId="77777777" w:rsidR="002F3077" w:rsidRDefault="00EA4D4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Дата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09135" w14:textId="77777777" w:rsidR="002F3077" w:rsidRDefault="00EA4D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</w:t>
            </w:r>
          </w:p>
        </w:tc>
      </w:tr>
      <w:tr w:rsidR="002F3077" w14:paraId="71D64A67" w14:textId="77777777">
        <w:trPr>
          <w:trHeight w:val="273"/>
        </w:trPr>
        <w:tc>
          <w:tcPr>
            <w:tcW w:w="27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6CA5A" w14:textId="77777777" w:rsidR="002F3077" w:rsidRDefault="00EA4D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финансового органа</w:t>
            </w:r>
          </w:p>
        </w:tc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DBF82" w14:textId="77777777" w:rsidR="002F3077" w:rsidRDefault="00EA4D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Управление финансов Липецкой области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890E2" w14:textId="77777777" w:rsidR="002F3077" w:rsidRDefault="00EA4D4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AD97D" w14:textId="77777777" w:rsidR="002F3077" w:rsidRDefault="002F3077">
            <w:pPr>
              <w:rPr>
                <w:sz w:val="24"/>
              </w:rPr>
            </w:pPr>
          </w:p>
        </w:tc>
      </w:tr>
      <w:tr w:rsidR="002F3077" w14:paraId="7FEA8F37" w14:textId="77777777">
        <w:trPr>
          <w:trHeight w:val="273"/>
        </w:trPr>
        <w:tc>
          <w:tcPr>
            <w:tcW w:w="27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141E3" w14:textId="77777777" w:rsidR="002F3077" w:rsidRDefault="00EA4D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96DAA" w14:textId="77777777" w:rsidR="002F3077" w:rsidRDefault="00EA4D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1088C" w14:textId="77777777" w:rsidR="002F3077" w:rsidRDefault="00EA4D4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по БК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1AB04" w14:textId="77777777" w:rsidR="002F3077" w:rsidRDefault="00EA4D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028</w:t>
            </w:r>
          </w:p>
        </w:tc>
      </w:tr>
      <w:tr w:rsidR="002F3077" w14:paraId="71DA1179" w14:textId="77777777">
        <w:trPr>
          <w:trHeight w:val="273"/>
        </w:trPr>
        <w:tc>
          <w:tcPr>
            <w:tcW w:w="27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53E38" w14:textId="77777777" w:rsidR="002F3077" w:rsidRDefault="00EA4D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0D351" w14:textId="77777777" w:rsidR="002F3077" w:rsidRDefault="00EA4D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Бюджет субъекта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РФ(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ВИД=СБС; ИСТ=046)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7B6A0" w14:textId="77777777" w:rsidR="002F3077" w:rsidRDefault="00EA4D4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по ОКТМО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5D6B1" w14:textId="77777777" w:rsidR="002F3077" w:rsidRDefault="00EA4D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42000000</w:t>
            </w:r>
          </w:p>
        </w:tc>
      </w:tr>
      <w:tr w:rsidR="002F3077" w14:paraId="4AAE7159" w14:textId="77777777">
        <w:trPr>
          <w:trHeight w:val="273"/>
        </w:trPr>
        <w:tc>
          <w:tcPr>
            <w:tcW w:w="27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D529B" w14:textId="77777777" w:rsidR="002F3077" w:rsidRDefault="00EA4D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Периодичность: </w:t>
            </w:r>
          </w:p>
        </w:tc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6E3B2" w14:textId="77777777" w:rsidR="002F3077" w:rsidRDefault="00EA4D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месячная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9DFE8" w14:textId="77777777" w:rsidR="002F3077" w:rsidRDefault="00EA4D4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FA29F" w14:textId="77777777" w:rsidR="002F3077" w:rsidRDefault="00EA4D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3077" w14:paraId="728CF75C" w14:textId="77777777">
        <w:trPr>
          <w:trHeight w:val="356"/>
        </w:trPr>
        <w:tc>
          <w:tcPr>
            <w:tcW w:w="27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F3707" w14:textId="77777777" w:rsidR="002F3077" w:rsidRDefault="00EA4D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измерения: </w:t>
            </w:r>
          </w:p>
        </w:tc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EDD44" w14:textId="77777777" w:rsidR="002F3077" w:rsidRDefault="00EA4D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B2563" w14:textId="77777777" w:rsidR="002F3077" w:rsidRDefault="00EA4D4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по ОКЕИ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61CD5" w14:textId="77777777" w:rsidR="002F3077" w:rsidRDefault="00EA4D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14:paraId="24FA786A" w14:textId="77777777" w:rsidR="002F3077" w:rsidRDefault="00EA4D4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7EA34E1" w14:textId="77777777" w:rsidR="002F3077" w:rsidRDefault="00EA4D4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0" w:name="_GoBack"/>
      <w:bookmarkEnd w:id="0"/>
    </w:p>
    <w:p w14:paraId="2EFB6252" w14:textId="77777777" w:rsidR="002F3077" w:rsidRDefault="00EA4D45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CF7C1AC" w14:textId="77777777" w:rsidR="002F3077" w:rsidRDefault="00EA4D45">
      <w:pP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  </w:t>
      </w:r>
      <w:r>
        <w:rPr>
          <w:rFonts w:ascii="Calibri" w:eastAsia="Calibri" w:hAnsi="Calibri" w:cs="Calibri"/>
          <w:color w:val="000000"/>
        </w:rPr>
        <w:t>                       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1 «Организационная структура»</w:t>
      </w:r>
    </w:p>
    <w:p w14:paraId="47CDD42D" w14:textId="77777777" w:rsidR="002F3077" w:rsidRDefault="00EA4D45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14:paraId="3E51A361" w14:textId="77777777" w:rsidR="002F3077" w:rsidRDefault="00EA4D45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Липецкая область входит в состав Центрального федерального округа. Система органов государственной власти определяется Уставом Липецкой области. Государственную власть осуществляют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пецкий областной Совет депутатов, Правительство области, иные органы государственной власти, образуемые в соответствии с Уставом Липецкой области. На основании выписки из единого государственного реестра юридических лиц от 17.01.2025г. управление финансов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Липецкой области переименовано в министерство финансов Липецкой области.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CF5A2B1" w14:textId="77777777" w:rsidR="002F3077" w:rsidRDefault="00EA4D45">
      <w:pPr>
        <w:spacing w:line="36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2 «Результаты деятельности»</w:t>
      </w:r>
    </w:p>
    <w:p w14:paraId="566F5410" w14:textId="77777777" w:rsidR="002F3077" w:rsidRDefault="00EA4D45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 В соответствии с требованиями Бюджетного кодекса Российской Федерации кассовое исполнение областного и местных бюджетов переведено 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рганы Федерального казначейства. При этом применяется вариант, при котором лицевые счета в органах Федерального казначейства открыты финансовым органам.</w:t>
      </w:r>
    </w:p>
    <w:p w14:paraId="07F8DC02" w14:textId="77777777" w:rsidR="002F3077" w:rsidRDefault="00EA4D45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Кассовое исполнение бюджетов (включая бюджеты сельских поселений) осуществляется с использованием элект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ронного документооборота с органами Федерального казначейства.</w:t>
      </w:r>
    </w:p>
    <w:p w14:paraId="711CE54E" w14:textId="77777777" w:rsidR="002F3077" w:rsidRDefault="00EA4D45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 целях осуществления контроля за эффективным расходованием бюджетных средств, а также недопущения образования просроченной кредиторской задолженности министерством финансов осуществляется учет обязательств, подлежащих оплате за счет средств областного бю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джета. </w:t>
      </w:r>
    </w:p>
    <w:p w14:paraId="7C95E475" w14:textId="77777777" w:rsidR="002F3077" w:rsidRDefault="00EA4D45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целях повышения энергетической эффективности экономики Липецкой области, системности и комплексности проведения мероприятий по энергосбережению и повышению энергетической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эффективности  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году исполнена государственная программа в области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нергосбережения.</w:t>
      </w:r>
    </w:p>
    <w:p w14:paraId="1D6A57EA" w14:textId="77777777" w:rsidR="002F3077" w:rsidRDefault="00EA4D45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Липецкой области от 02.06.2023 №286   «О порядке разработки, формирования и реализации государственных программ Липецкой области» и в целях реализации государственной программы Липецкой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«Управление государственными финансами и государственным долгом Липецкой области» утверждены мероприятия по осуществлению бюджетного процесса, повышению качества финансового менеджмента главных распорядителей бюджетных средств, формированию регионального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сегмента «Электронный бюджет», обеспечению своевременности и полноты исполнения долговых обязательств Липецкой области, обслуживанию государственного долга Липецкой области и выполнение других обязательств Липецкой области по выплате агентских комиссий 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ознаграждений.</w:t>
      </w:r>
    </w:p>
    <w:p w14:paraId="13BB65C8" w14:textId="77777777" w:rsidR="002F3077" w:rsidRDefault="00EA4D45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долговой политики Липецкой области в предшествующие годы привела к снижению долговой нагрузки до 14,6% от суммы доходов областного бюджета без учета безвозмездных поступлений.</w:t>
      </w:r>
    </w:p>
    <w:p w14:paraId="173C5EDC" w14:textId="77777777" w:rsidR="002F3077" w:rsidRDefault="00EA4D45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2024 году реализовывались все мероприятия долговой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олитики Липецкой области, утвержденной распоряжением Правительства Липецкой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области от 17 ноября 2023 года № 1063-р «Об утверждении основных направлений долговой политики Липецкой области на 2024 год и на плановый период 2025 и 2026 годов», направленные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сокращение государственного долга области и расходов на его обслуживание:</w:t>
      </w:r>
    </w:p>
    <w:p w14:paraId="020FD00E" w14:textId="77777777" w:rsidR="002F3077" w:rsidRDefault="00EA4D45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проводился постоянный мониторинг нормативных правовых актов в сфере управления государственным долгом области, в том числе внесены изменения в нормативные правовые акты,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касающиеся управления государственным долгом области;</w:t>
      </w:r>
    </w:p>
    <w:p w14:paraId="33AD4A0E" w14:textId="77777777" w:rsidR="002F3077" w:rsidRDefault="00EA4D45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 информации о долговых обязательствах области в государственную долговую книгу Липецкой области в соответствии с бюджетным законодательством осуществлялось в срок, не превышающий пяти рабочих 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с момента возникновения соответствующего обязательства;</w:t>
      </w:r>
    </w:p>
    <w:p w14:paraId="19FED1EF" w14:textId="77777777" w:rsidR="002F3077" w:rsidRDefault="00EA4D45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проводимого мониторинга текущей ситуации по исполнению областного бюджета министерством финансов Липецкой области осуществлялась работа по формированию и утверждению кассового плана, что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озволило минимизировать риски возникновения временных кассовых разрывов при исполнении областного бюджета и обеспечило своевременное финансирование первоочередных социально значимых расходов за счет средств областного бюджета;</w:t>
      </w:r>
    </w:p>
    <w:p w14:paraId="5FC875F2" w14:textId="77777777" w:rsidR="002F3077" w:rsidRDefault="00EA4D45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мониторинга долговой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нагрузки на областной бюджет осуществлялся постоянный мониторинг объема государственного долга и расходов на его обслуживание на предмет соответствия ограничениям, установленным Бюджетным кодексом Российской Федерации, а также дополнительным ограничениям,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установленным соглашениями, заключенными с Министерством финансов Российской Федерации;</w:t>
      </w:r>
    </w:p>
    <w:p w14:paraId="2861A0A1" w14:textId="77777777" w:rsidR="002F3077" w:rsidRDefault="00EA4D45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государственных заимствований области на 2024 год и на плановый период 2025 и 2026 годов осуществлялось с учетом выполнения условий реструктуризации задол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женности по бюджетным кредитам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соответствии с постановлением Правительства Российской Федерации от 13 декабря 2017 года № 1531 «О проведении в 2017 году реструктуризации обязательств (задолженности) субъектов Российской Федерации перед Российской Федерац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 по бюджетным кредитам» (далее - Постановление о реструктуризации), а также выполнения условий, установленных Бюджетным кодексом Российской Федерации, с целью отнесения Липецкой области к группе заемщиков с высоким уровнем долговой устойчивости;</w:t>
      </w:r>
    </w:p>
    <w:p w14:paraId="445C008D" w14:textId="77777777" w:rsidR="002F3077" w:rsidRDefault="00EA4D45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рыночны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заимствования в 2024 году Липецкой областью не осуществлялись; </w:t>
      </w:r>
    </w:p>
    <w:p w14:paraId="188E06AE" w14:textId="77777777" w:rsidR="002F3077" w:rsidRDefault="00EA4D45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платежи, связанные с погашением, обслуживанием долговых обязательств области, а также выполнением других обязательств области по выплате агентских комиссий и вознаграждений в 2024 году,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произведены своевременно и в полном объеме;</w:t>
      </w:r>
    </w:p>
    <w:p w14:paraId="1BA2F271" w14:textId="77777777" w:rsidR="002F3077" w:rsidRDefault="00EA4D45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областном бюджете не были запланированы средства для исполнения долговых обязательств по государственным гарантиям в связи с отсутствием выданных государственных гарантий области.</w:t>
      </w:r>
    </w:p>
    <w:p w14:paraId="553B997D" w14:textId="77777777" w:rsidR="002F3077" w:rsidRDefault="00EA4D45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областью 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обязательств свидетельствует о положительных тенденциях в реализации долговой политики Липецкой области, низком уровне рисков областного бюджета.</w:t>
      </w:r>
    </w:p>
    <w:p w14:paraId="6A7C3257" w14:textId="77777777" w:rsidR="002F3077" w:rsidRDefault="00EA4D45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в 2024 году министерством финансов области проводилась работа по осуществлению контроля за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ответствием информации, содержащейся в документах, размещаемых в Единой информационной системе в сфере закупок, предусмотренного частью 5 статьи 99 Федерального закона «О контрактной системе в сфере закупок товаров, работ, услуг для обеспечения государстве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и муниципальных нужд». За прошедший год объектами контроля стали более 59 тысяч документов.</w:t>
      </w:r>
    </w:p>
    <w:p w14:paraId="39A41CF5" w14:textId="77777777" w:rsidR="002F3077" w:rsidRDefault="00EA4D45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01 января 2024 осуществлено внедрение нового модуля формирования бюджетных и денежных обязательств с использованием интеграции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региональной системы исполнени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бюджета и единой информационной системы в сфере закупок. В результате было достигнуто:</w:t>
      </w:r>
    </w:p>
    <w:p w14:paraId="67F7A550" w14:textId="77777777" w:rsidR="002F3077" w:rsidRDefault="00EA4D45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 - автоматическое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  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платежных документах реквизитов, предусмотренных постановлением Правительства Российской Федерации №60 «О мерах по информационном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обеспечению контрактной системы»;</w:t>
      </w:r>
    </w:p>
    <w:p w14:paraId="228DE4C0" w14:textId="77777777" w:rsidR="002F3077" w:rsidRDefault="00EA4D45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- автоматическое размещение в ГИС ЕИС информации об исполнении контрактов;</w:t>
      </w:r>
    </w:p>
    <w:p w14:paraId="388D68CD" w14:textId="77777777" w:rsidR="002F3077" w:rsidRDefault="00EA4D45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- сокращение времени при подготовке документов, снижение риска ошибки при «ручном» вводе информации.</w:t>
      </w:r>
    </w:p>
    <w:p w14:paraId="23FA4C27" w14:textId="77777777" w:rsidR="002F3077" w:rsidRDefault="00EA4D45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2024 году министерством фина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нсов области полностью обеспечено проведение платежей с лицевых счетов получателей средств областного бюджета и областных государственных учреждений в сроки, установленные порядками исполнения областного бюджета по расходам и источникам финансирования дефи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цита областного бюджета и проведения кассовых выплат за счет средств областных государственных учреждений. </w:t>
      </w:r>
    </w:p>
    <w:p w14:paraId="5448392D" w14:textId="77777777" w:rsidR="002F3077" w:rsidRDefault="00EA4D45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Кассовые расходы произведены в полном объеме с осуществлением в установленном порядке санкционирования кассовых операций, что позволило обеспечить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сплошной предварительный контроль за целевым использованием средств областного бюджета и средств, полученных областными государственными учреждениями в виде целевых субсидий из областного бюджета. </w:t>
      </w:r>
    </w:p>
    <w:p w14:paraId="71C65859" w14:textId="77777777" w:rsidR="002F3077" w:rsidRDefault="00EA4D45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 В результате эффективного управления ликвидностью ЕКС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году в бюджет Липецкой области поступили дополнительные доходы от управления ликвидностью счета в размере 7,5 млрд. рублей. </w:t>
      </w:r>
    </w:p>
    <w:p w14:paraId="613848D7" w14:textId="77777777" w:rsidR="002F3077" w:rsidRDefault="00EA4D45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финансов Липецкой области при осуществлении полномочий по внутреннему государственному финансовому контролю 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остоянной основе реализует комплекс мероприятий, направленных на предупреждение нарушений в финансово-бюджетной сфере и повышение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качества управления государственными финансами. В 2024 году Министерством проведены контрольные мероприятия по вопросам соблюд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главными распорядителями средств областного бюджета, органами местного самоуправления, областными учреждениями, юридическими лицами-получателями субсидий бюджетного законодательства, в результате которых в адрес объектов контроля направлены представле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об устранении выявленных нарушений, а также причин и условий,  способствующих их совершению. По результатам контрольных мероприятий в областной бюджет перечислено 3,4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млн.руб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74F3958" w14:textId="77777777" w:rsidR="002F3077" w:rsidRDefault="00EA4D45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   Бюджетная отчетность за 2024 год составлена в соответствии с требован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иями Федеральных     стандартов бухгалтерского учета и отчетности для организаций государственного сектора (далее - СГС) «Основные средства», «Аренда», «Представление отчетности», «Доходы», «Учетная политика. Оценочные значения и ошибки», «Концептуальные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сновы бухгалтерского учета и отчетности», «Консолидированная отчетность» и другими федеральными стандартами, Приказа Министерства финансов Российской Федерации от 28.12.2010 №191н, письма Министерства финансов Российской Федерации и Федерального казначейст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Российской Федерации от 29.11.2024  №02-06-06/120377, №07-04-05/02-35263. </w:t>
      </w:r>
    </w:p>
    <w:p w14:paraId="4557CB9F" w14:textId="77777777" w:rsidR="002F3077" w:rsidRDefault="00EA4D45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Проведена сверка отчета об исполнении консолидированного бюджета субъекта Российской Федерации и бюджета территориального государственного фонда (ф.0503317) с консолидиров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анным отчетом о кассовых поступлениях и выбытиях УФК по Липецкой области (ф.0503152). При сверке отклонения между формами отчетности отсутствуют.</w:t>
      </w:r>
    </w:p>
    <w:p w14:paraId="542B66C1" w14:textId="77777777" w:rsidR="002F3077" w:rsidRDefault="00EA4D45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составе годовой отчетности представлен консолидированный отчет о движении денежных средств (ф.0503323).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 году произведено использование остатка в кассе по состоянию на 01 января 2024 года   в сумме</w:t>
      </w:r>
    </w:p>
    <w:p w14:paraId="2011EBB5" w14:textId="77777777" w:rsidR="002F3077" w:rsidRDefault="00EA4D45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5 861,00 руб.</w:t>
      </w:r>
    </w:p>
    <w:p w14:paraId="6A8C4050" w14:textId="77777777" w:rsidR="002F3077" w:rsidRDefault="00EA4D45">
      <w:pP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     </w:t>
      </w:r>
      <w:r>
        <w:rPr>
          <w:rFonts w:ascii="Calibri" w:eastAsia="Calibri" w:hAnsi="Calibri" w:cs="Calibri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                     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3 «Анализ отчета об исполнении бюджета»</w:t>
      </w:r>
    </w:p>
    <w:p w14:paraId="218C3ACB" w14:textId="77777777" w:rsidR="002F3077" w:rsidRDefault="00EA4D45">
      <w:pPr>
        <w:spacing w:line="360" w:lineRule="auto"/>
        <w:ind w:firstLine="70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Доходы</w:t>
      </w:r>
    </w:p>
    <w:p w14:paraId="1BB84FA5" w14:textId="77777777" w:rsidR="002F3077" w:rsidRDefault="00EA4D45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Областной бюджет по налоговым и неналоговым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доходам за 2024 год исполнен в объеме 95 361 022 123,98 рублей или 111,0% к уточненному годовому плану.</w:t>
      </w:r>
    </w:p>
    <w:p w14:paraId="08D434E0" w14:textId="77777777" w:rsidR="002F3077" w:rsidRDefault="00EA4D45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к плану получено 9 487 808 642,10 рублей, в основном, за счет налога на доходы физических лиц – 5 953 538 412,12 рублей, акцизов -1 576 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0 918,17 руб. спецрежимов – 938 572 185,94 руб.</w:t>
      </w:r>
    </w:p>
    <w:p w14:paraId="4FFD373C" w14:textId="77777777" w:rsidR="002F3077" w:rsidRDefault="00EA4D45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сравнению с предыдущим годом налоговые и неналоговые доходы увеличились на 2 802 465 498,43 руб. или на 3%.  Положительная динамика сложилась, в основном, по налогу на доходы физических лиц за счет роста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онда заработной платы и акцизам на нефтепродукты в связи с изменением нормативов отчислений в бюджеты субъектов Российской Федерации.</w:t>
      </w:r>
    </w:p>
    <w:p w14:paraId="403CEC09" w14:textId="77777777" w:rsidR="002F3077" w:rsidRDefault="00EA4D45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Расходы</w:t>
      </w:r>
    </w:p>
    <w:p w14:paraId="7C37FD0B" w14:textId="77777777" w:rsidR="002F3077" w:rsidRDefault="00EA4D45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 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областного бюджета исполнены в сумме 131 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2 122 881,07 руб., или на 91,4 % к утвержденным бюджетным назначениям. Прирост расходов к прошлому году составил 22,9%.</w:t>
      </w:r>
    </w:p>
    <w:p w14:paraId="0AF37ECB" w14:textId="77777777" w:rsidR="002F3077" w:rsidRDefault="00EA4D45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Расходы на финансирование отраслей социальной сферы (разделы:07,08,09,10,11,12) исполнены в сумме 75 893 577 050,53 руб., что сост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авляет 57,8% всех расходов областного бюджета, что выше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 22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,9%, чем в 2023 году. </w:t>
      </w:r>
    </w:p>
    <w:p w14:paraId="3A53E586" w14:textId="77777777" w:rsidR="002F3077" w:rsidRDefault="00EA4D45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    Наибольший удельный вес – 21,8% в общих расходах областного бюджета занимают расходы на образование. Их исполнение составило 28 646 047 201,51 руб.</w:t>
      </w:r>
    </w:p>
    <w:p w14:paraId="3F990CDD" w14:textId="77777777" w:rsidR="002F3077" w:rsidRDefault="00EA4D45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развитие культуры и кинематографии в 2024 году направлено 1 904 138 671,09 руб., или 1,4 % от общих расходов областного бюджета.</w:t>
      </w:r>
    </w:p>
    <w:p w14:paraId="6D8F4330" w14:textId="77777777" w:rsidR="002F3077" w:rsidRDefault="00EA4D45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На развитие здравоохранения в 2024 году направлено 15 960 075 710,49 руб., или 12,1% от общих расходов областного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бюджета. </w:t>
      </w:r>
    </w:p>
    <w:p w14:paraId="2C117E87" w14:textId="77777777" w:rsidR="002F3077" w:rsidRDefault="00EA4D45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           Расходы на социальную политику исполнены в сумме 26 925 927 930,36 руб., что составляет 20,5% в общих расходах областного бюджета. </w:t>
      </w:r>
    </w:p>
    <w:p w14:paraId="362FBEB6" w14:textId="77777777" w:rsidR="002F3077" w:rsidRDefault="00EA4D45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       На финансирование отраслей экономики (разделы:04,05,06) в 2024 году направлено 37 561 584 815,34 рублей, что составляет 28,6% всех расходов областного бюджета. Прирост данных расходов к прошлому году составил 11,4%. </w:t>
      </w:r>
    </w:p>
    <w:p w14:paraId="60B41266" w14:textId="77777777" w:rsidR="002F3077" w:rsidRDefault="00EA4D45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 Расходы на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циональную экономику исполнены в сумме 29 709 595 740,62 рублей, что составляет 22,6%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общих расходах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областного бюджета. </w:t>
      </w:r>
    </w:p>
    <w:p w14:paraId="7732BB6D" w14:textId="77777777" w:rsidR="002F3077" w:rsidRDefault="00EA4D45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       На жилищно-коммунальное хозяйство в 2024 году направлено 7 462 270 583,03 рублей, что составляет 5,7%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общих расхода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областного бюджета. </w:t>
      </w:r>
    </w:p>
    <w:p w14:paraId="704D45C5" w14:textId="77777777" w:rsidR="002F3077" w:rsidRDefault="00EA4D45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На национальную оборону, национальную безопасность и правоохранительную деятельность направлено 1 594 117 093,55 руб. или 1,2% всех расходов областного бюджета.</w:t>
      </w:r>
    </w:p>
    <w:p w14:paraId="5F7A9C76" w14:textId="77777777" w:rsidR="002F3077" w:rsidRDefault="00EA4D45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 На общегосударственные вопросы направлено 5 114 83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7 248,25 руб. или 3,9% всех расходов областного бюджета.</w:t>
      </w:r>
    </w:p>
    <w:p w14:paraId="7DD14B7B" w14:textId="77777777" w:rsidR="002F3077" w:rsidRDefault="00EA4D45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Расходы на обслуживание государственного долга бюджета субъекта за отчетный год составили 312 323 529,26 руб. (97,6 % к годовому плану) или 0,2% всех расходов областного бюджета.</w:t>
      </w:r>
    </w:p>
    <w:p w14:paraId="6149AE1C" w14:textId="77777777" w:rsidR="002F3077" w:rsidRDefault="00EA4D45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 Программно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целевые расходы бюджета субъекта бюджета за 2024 год составили 94% от общих расходов областного бюджета или 127 609 324 378,32 рубля.</w:t>
      </w:r>
    </w:p>
    <w:p w14:paraId="62A94EE6" w14:textId="77777777" w:rsidR="002F3077" w:rsidRDefault="00EA4D45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Непрограммные расходы областного бюджета за 2024 год составили 3 752 798 502,75 руб. или 2,9% общих расходов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бластного бюджета.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444A885" w14:textId="77777777" w:rsidR="002F3077" w:rsidRDefault="00EA4D45">
      <w:pPr>
        <w:spacing w:line="360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       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Информация о задолженности по долговым обязательствам области.</w:t>
      </w:r>
    </w:p>
    <w:p w14:paraId="2901BD6D" w14:textId="77777777" w:rsidR="002F3077" w:rsidRDefault="00EA4D45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  Объем государственного внутреннего долга Липецкой области по состоянию на 01.01.2025 года составил 13 915 739 322,19 руб. </w:t>
      </w:r>
    </w:p>
    <w:p w14:paraId="42CCC089" w14:textId="77777777" w:rsidR="002F3077" w:rsidRDefault="00EA4D45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государственного долг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области:</w:t>
      </w:r>
    </w:p>
    <w:p w14:paraId="44031B9D" w14:textId="77777777" w:rsidR="002F3077" w:rsidRDefault="00EA4D45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      -    государственные ценные бумаги Липецкой области -950 016 809,34 – 6,8%;</w:t>
      </w:r>
    </w:p>
    <w:p w14:paraId="464739B1" w14:textId="77777777" w:rsidR="002F3077" w:rsidRDefault="00EA4D45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- бюджетные кредиты, привлеченные в областной бюджет из других бюджетов бюджетной системы Российской Федерации- 12 965 722 512,85 руб. – 93,2%.</w:t>
      </w:r>
    </w:p>
    <w:p w14:paraId="357D051B" w14:textId="77777777" w:rsidR="002F3077" w:rsidRDefault="00EA4D45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Верхний предел государственного внутреннего долга Липецкой области на 1 января 2025 года, установленный частью 1 статьи 10 Закона Липецкой области от 19.12.2023г. № 423-ОЗ «Об областном бюджете на 2024 год и на плановый период 2025 и 2026 годов» превышен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16 000,00 руб. в связи с возвратом амортизационной части номинальной стоимости облигаций из-за невозможности определить получателя.</w:t>
      </w:r>
    </w:p>
    <w:p w14:paraId="1839B36E" w14:textId="77777777" w:rsidR="002F3077" w:rsidRDefault="00EA4D45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 объема государственного долга Липецкой области к объему доходов областного бюджета без учета безвозмездных посту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плений по состоянию на 01.01.2025 составило 14,6%, что соответствует требованиям бюджетного законодательства.</w:t>
      </w:r>
    </w:p>
    <w:p w14:paraId="78A53589" w14:textId="77777777" w:rsidR="002F3077" w:rsidRDefault="00EA4D45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2024 году были исполнены долговые обязательства области по государственным облигациям области в объеме 1 449 984 0000 руб., по бюджетным кредита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 объеме 2 165 770 809,55 руб. В целях развития экономики Липецкой области получен бюджетный кредит на финансовое обеспечение реализации инфраструктурных проектов в объеме 958 132 000 руб.</w:t>
      </w:r>
    </w:p>
    <w:p w14:paraId="7503B9E9" w14:textId="77777777" w:rsidR="002F3077" w:rsidRDefault="00EA4D45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B000446" w14:textId="77777777" w:rsidR="002F3077" w:rsidRDefault="002F3077"/>
    <w:p w14:paraId="3AB0C92C" w14:textId="77777777" w:rsidR="002F3077" w:rsidRDefault="00EA4D4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B226B5C" w14:textId="77777777" w:rsidR="002F3077" w:rsidRDefault="00EA4D4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27D821C" w14:textId="77777777" w:rsidR="002F3077" w:rsidRDefault="00EA4D4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96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4291"/>
        <w:gridCol w:w="3116"/>
      </w:tblGrid>
      <w:tr w:rsidR="002F3077" w14:paraId="2CD2EDCF" w14:textId="77777777"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55646" w14:textId="77777777" w:rsidR="002F3077" w:rsidRDefault="00EA4D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B76B2" w14:textId="68A16976" w:rsidR="002F3077" w:rsidRDefault="002F307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57E81" w14:textId="77777777" w:rsidR="002F3077" w:rsidRDefault="00EA4D4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Щеглеватых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В.М.</w:t>
            </w:r>
          </w:p>
        </w:tc>
      </w:tr>
      <w:tr w:rsidR="002F3077" w14:paraId="07B51BB5" w14:textId="77777777">
        <w:trPr>
          <w:trHeight w:val="280"/>
        </w:trPr>
        <w:tc>
          <w:tcPr>
            <w:tcW w:w="25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F9FAF6" w14:textId="77777777" w:rsidR="002F3077" w:rsidRDefault="002F3077">
            <w:pPr>
              <w:rPr>
                <w:sz w:val="24"/>
              </w:rPr>
            </w:pP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D8443" w14:textId="77777777" w:rsidR="002F3077" w:rsidRDefault="00EA4D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7D075" w14:textId="77777777" w:rsidR="002F3077" w:rsidRDefault="00EA4D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2F3077" w14:paraId="4950FF7C" w14:textId="77777777">
        <w:trPr>
          <w:trHeight w:val="281"/>
        </w:trPr>
        <w:tc>
          <w:tcPr>
            <w:tcW w:w="9954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F4A454" w14:textId="77777777" w:rsidR="002F3077" w:rsidRDefault="00EA4D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F3077" w14:paraId="2642CB02" w14:textId="77777777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61123" w14:textId="77777777" w:rsidR="002F3077" w:rsidRDefault="00EA4D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планово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C446E" w14:textId="77777777" w:rsidR="002F3077" w:rsidRDefault="002F3077">
            <w:pPr>
              <w:rPr>
                <w:sz w:val="24"/>
              </w:rPr>
            </w:pP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A0C33" w14:textId="77777777" w:rsidR="002F3077" w:rsidRDefault="002F3077">
            <w:pPr>
              <w:rPr>
                <w:sz w:val="24"/>
              </w:rPr>
            </w:pPr>
          </w:p>
        </w:tc>
      </w:tr>
      <w:tr w:rsidR="002F3077" w14:paraId="3EB7F0CC" w14:textId="77777777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2D454" w14:textId="77777777" w:rsidR="002F3077" w:rsidRDefault="00EA4D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экономической службы</w:t>
            </w: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89B18" w14:textId="77777777" w:rsidR="002F3077" w:rsidRDefault="00EA4D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2B5DF" w14:textId="77777777" w:rsidR="002F3077" w:rsidRDefault="00EA4D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2F3077" w14:paraId="04FEDBC4" w14:textId="77777777">
        <w:trPr>
          <w:trHeight w:val="281"/>
        </w:trPr>
        <w:tc>
          <w:tcPr>
            <w:tcW w:w="9954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9D9235" w14:textId="77777777" w:rsidR="002F3077" w:rsidRDefault="002F3077">
            <w:pPr>
              <w:rPr>
                <w:sz w:val="24"/>
              </w:rPr>
            </w:pPr>
          </w:p>
        </w:tc>
      </w:tr>
      <w:tr w:rsidR="002F3077" w14:paraId="7907CF21" w14:textId="77777777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19FE2" w14:textId="77777777" w:rsidR="002F3077" w:rsidRDefault="00EA4D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Главный</w:t>
            </w: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F64FD" w14:textId="1357D366" w:rsidR="002F3077" w:rsidRDefault="002F3077">
            <w:pPr>
              <w:ind w:left="-139" w:right="-288" w:firstLine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F2071D" w14:textId="77777777" w:rsidR="002F3077" w:rsidRDefault="00EA4D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Пьянникова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С.А.</w:t>
            </w:r>
          </w:p>
        </w:tc>
      </w:tr>
      <w:tr w:rsidR="002F3077" w14:paraId="7A05566A" w14:textId="77777777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21EE6" w14:textId="77777777" w:rsidR="002F3077" w:rsidRDefault="00EA4D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82569" w14:textId="77777777" w:rsidR="002F3077" w:rsidRDefault="00EA4D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00E66" w14:textId="77777777" w:rsidR="002F3077" w:rsidRDefault="00EA4D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2F3077" w14:paraId="13275C0B" w14:textId="77777777">
        <w:trPr>
          <w:trHeight w:val="449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107E9" w14:textId="77777777" w:rsidR="002F3077" w:rsidRDefault="00EA4D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_____20____г.</w:t>
            </w: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94299" w14:textId="77777777" w:rsidR="002F3077" w:rsidRDefault="002F3077">
            <w:pPr>
              <w:rPr>
                <w:sz w:val="24"/>
              </w:rPr>
            </w:pP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CAFF8" w14:textId="77777777" w:rsidR="002F3077" w:rsidRDefault="002F3077">
            <w:pPr>
              <w:rPr>
                <w:sz w:val="24"/>
              </w:rPr>
            </w:pPr>
          </w:p>
        </w:tc>
      </w:tr>
    </w:tbl>
    <w:p w14:paraId="6802C625" w14:textId="77777777" w:rsidR="002F3077" w:rsidRDefault="00EA4D45"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</w:p>
    <w:sectPr w:rsidR="002F3077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77"/>
    <w:rsid w:val="002F3077"/>
    <w:rsid w:val="00EA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EC46"/>
  <w15:docId w15:val="{173BFC05-BC45-4651-A9AC-04C24649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2218</Words>
  <Characters>12644</Characters>
  <Application>Microsoft Office Word</Application>
  <DocSecurity>0</DocSecurity>
  <Lines>105</Lines>
  <Paragraphs>29</Paragraphs>
  <ScaleCrop>false</ScaleCrop>
  <Company/>
  <LinksUpToDate>false</LinksUpToDate>
  <CharactersWithSpaces>14833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u1496</dc:creator>
  <cp:lastModifiedBy>u1496</cp:lastModifiedBy>
  <cp:revision>2</cp:revision>
  <dcterms:created xsi:type="dcterms:W3CDTF">2025-04-25T06:22:00Z</dcterms:created>
  <dcterms:modified xsi:type="dcterms:W3CDTF">2025-04-25T06:22:00Z</dcterms:modified>
</cp:coreProperties>
</file>